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D8D" w:rsidRDefault="00420D8D" w:rsidP="00420D8D">
      <w:pPr>
        <w:pStyle w:val="Header"/>
        <w:rPr>
          <w:rFonts w:ascii="Times New Roman" w:hAnsi="Times New Roman"/>
          <w:sz w:val="20"/>
          <w:szCs w:val="20"/>
        </w:rPr>
      </w:pPr>
      <w:r w:rsidRPr="00944111">
        <w:rPr>
          <w:rFonts w:ascii="Times New Roman" w:hAnsi="Times New Roman"/>
          <w:sz w:val="20"/>
          <w:szCs w:val="20"/>
        </w:rPr>
        <w:t>Indian Journal of Basic and Applied Medical Research;</w:t>
      </w:r>
      <w:r>
        <w:rPr>
          <w:rFonts w:ascii="Times New Roman" w:hAnsi="Times New Roman"/>
          <w:sz w:val="20"/>
          <w:szCs w:val="20"/>
        </w:rPr>
        <w:t xml:space="preserve"> March 20</w:t>
      </w:r>
      <w:r w:rsidR="00DE0CA5">
        <w:rPr>
          <w:rFonts w:ascii="Times New Roman" w:hAnsi="Times New Roman"/>
          <w:sz w:val="20"/>
          <w:szCs w:val="20"/>
        </w:rPr>
        <w:t>16: Vol.-5, Issue-</w:t>
      </w:r>
      <w:r w:rsidR="006C249B">
        <w:rPr>
          <w:rFonts w:ascii="Times New Roman" w:hAnsi="Times New Roman"/>
          <w:sz w:val="20"/>
          <w:szCs w:val="20"/>
        </w:rPr>
        <w:t xml:space="preserve"> 2, P. 250-257</w:t>
      </w:r>
    </w:p>
    <w:p w:rsidR="00420D8D" w:rsidRPr="00EE29FF" w:rsidRDefault="00420D8D" w:rsidP="00420D8D">
      <w:pPr>
        <w:pStyle w:val="Header"/>
        <w:rPr>
          <w:rFonts w:ascii="Times New Roman" w:hAnsi="Times New Roman"/>
          <w:sz w:val="20"/>
          <w:szCs w:val="20"/>
        </w:rPr>
      </w:pPr>
    </w:p>
    <w:p w:rsidR="006C249B" w:rsidRPr="003D7029" w:rsidRDefault="006C249B" w:rsidP="006C249B">
      <w:pPr>
        <w:spacing w:after="0" w:line="360" w:lineRule="auto"/>
        <w:ind w:left="1260" w:hanging="1260"/>
        <w:contextualSpacing/>
        <w:rPr>
          <w:rFonts w:asciiTheme="majorHAnsi" w:eastAsia="Times New Roman" w:hAnsiTheme="majorHAnsi"/>
          <w:b/>
          <w:bCs/>
          <w:sz w:val="24"/>
          <w:szCs w:val="24"/>
        </w:rPr>
      </w:pPr>
      <w:r w:rsidRPr="003D7029">
        <w:rPr>
          <w:rFonts w:asciiTheme="majorHAnsi" w:eastAsia="Times New Roman" w:hAnsiTheme="majorHAnsi"/>
          <w:b/>
          <w:bCs/>
          <w:sz w:val="24"/>
          <w:szCs w:val="24"/>
          <w:highlight w:val="lightGray"/>
        </w:rPr>
        <w:t>Original article</w:t>
      </w:r>
    </w:p>
    <w:p w:rsidR="006C249B" w:rsidRPr="003D7029" w:rsidRDefault="006C249B" w:rsidP="006C249B">
      <w:pPr>
        <w:spacing w:after="0" w:line="360" w:lineRule="auto"/>
        <w:ind w:left="1260" w:hanging="1260"/>
        <w:contextualSpacing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  <w:r w:rsidRPr="003D7029">
        <w:rPr>
          <w:rFonts w:asciiTheme="majorHAnsi" w:eastAsia="Times New Roman" w:hAnsiTheme="majorHAnsi"/>
          <w:b/>
          <w:color w:val="1F497D" w:themeColor="text2"/>
          <w:sz w:val="24"/>
          <w:szCs w:val="24"/>
        </w:rPr>
        <w:t xml:space="preserve">Role of Intravenous </w:t>
      </w:r>
      <w:proofErr w:type="spellStart"/>
      <w:r w:rsidRPr="003D7029">
        <w:rPr>
          <w:rFonts w:asciiTheme="majorHAnsi" w:eastAsia="Times New Roman" w:hAnsiTheme="majorHAnsi"/>
          <w:b/>
          <w:color w:val="1F497D" w:themeColor="text2"/>
          <w:sz w:val="24"/>
          <w:szCs w:val="24"/>
        </w:rPr>
        <w:t>Paracetamol</w:t>
      </w:r>
      <w:proofErr w:type="spellEnd"/>
      <w:r w:rsidRPr="003D7029">
        <w:rPr>
          <w:rFonts w:asciiTheme="majorHAnsi" w:eastAsia="Times New Roman" w:hAnsiTheme="majorHAnsi"/>
          <w:b/>
          <w:color w:val="1F497D" w:themeColor="text2"/>
          <w:sz w:val="24"/>
          <w:szCs w:val="24"/>
        </w:rPr>
        <w:t xml:space="preserve"> Infusion in Surgical cases of Systemic</w:t>
      </w:r>
    </w:p>
    <w:p w:rsidR="006C249B" w:rsidRPr="003D7029" w:rsidRDefault="006C249B" w:rsidP="006C249B">
      <w:pPr>
        <w:spacing w:after="0" w:line="360" w:lineRule="auto"/>
        <w:ind w:left="1260" w:hanging="1260"/>
        <w:contextualSpacing/>
        <w:rPr>
          <w:rFonts w:asciiTheme="majorHAnsi" w:eastAsia="Times New Roman" w:hAnsiTheme="majorHAnsi"/>
          <w:b/>
          <w:color w:val="1F497D" w:themeColor="text2"/>
          <w:sz w:val="24"/>
          <w:szCs w:val="24"/>
        </w:rPr>
      </w:pPr>
      <w:r w:rsidRPr="003D7029">
        <w:rPr>
          <w:rFonts w:asciiTheme="majorHAnsi" w:eastAsia="Times New Roman" w:hAnsiTheme="majorHAnsi"/>
          <w:b/>
          <w:color w:val="1F497D" w:themeColor="text2"/>
          <w:sz w:val="24"/>
          <w:szCs w:val="24"/>
        </w:rPr>
        <w:t>Inflammatory Response Syndrome</w:t>
      </w:r>
    </w:p>
    <w:p w:rsidR="006C249B" w:rsidRPr="003D7029" w:rsidRDefault="006C249B" w:rsidP="006C249B">
      <w:pPr>
        <w:spacing w:after="0" w:line="360" w:lineRule="auto"/>
        <w:ind w:left="1260" w:hanging="1260"/>
        <w:contextualSpacing/>
        <w:rPr>
          <w:rFonts w:asciiTheme="majorHAnsi" w:eastAsia="Times New Roman" w:hAnsiTheme="majorHAnsi"/>
          <w:b/>
          <w:bCs/>
          <w:vertAlign w:val="superscript"/>
        </w:rPr>
      </w:pPr>
      <w:r w:rsidRPr="003D7029">
        <w:rPr>
          <w:rFonts w:asciiTheme="majorHAnsi" w:eastAsia="Times New Roman" w:hAnsiTheme="majorHAnsi"/>
          <w:b/>
          <w:bCs/>
        </w:rPr>
        <w:t>*</w:t>
      </w:r>
      <w:proofErr w:type="spellStart"/>
      <w:r w:rsidRPr="003D7029">
        <w:rPr>
          <w:rFonts w:asciiTheme="majorHAnsi" w:eastAsia="Times New Roman" w:hAnsiTheme="majorHAnsi"/>
          <w:b/>
          <w:bCs/>
        </w:rPr>
        <w:t>Kunal</w:t>
      </w:r>
      <w:proofErr w:type="spellEnd"/>
      <w:r w:rsidRPr="003D7029">
        <w:rPr>
          <w:rFonts w:asciiTheme="majorHAnsi" w:eastAsia="Times New Roman" w:hAnsiTheme="majorHAnsi"/>
          <w:b/>
          <w:bCs/>
        </w:rPr>
        <w:t xml:space="preserve"> H. Sayani</w:t>
      </w:r>
      <w:r w:rsidRPr="003D7029">
        <w:rPr>
          <w:rFonts w:asciiTheme="majorHAnsi" w:eastAsia="Times New Roman" w:hAnsiTheme="majorHAnsi"/>
          <w:b/>
          <w:bCs/>
          <w:vertAlign w:val="superscript"/>
        </w:rPr>
        <w:t>1</w:t>
      </w:r>
      <w:r w:rsidRPr="003D7029">
        <w:rPr>
          <w:rFonts w:asciiTheme="majorHAnsi" w:eastAsia="Times New Roman" w:hAnsiTheme="majorHAnsi"/>
          <w:b/>
          <w:bCs/>
        </w:rPr>
        <w:t xml:space="preserve">, </w:t>
      </w:r>
      <w:proofErr w:type="spellStart"/>
      <w:r w:rsidRPr="003D7029">
        <w:rPr>
          <w:rFonts w:asciiTheme="majorHAnsi" w:eastAsia="Times New Roman" w:hAnsiTheme="majorHAnsi"/>
          <w:b/>
          <w:bCs/>
        </w:rPr>
        <w:t>Anant</w:t>
      </w:r>
      <w:proofErr w:type="spellEnd"/>
      <w:r w:rsidRPr="003D7029">
        <w:rPr>
          <w:rFonts w:asciiTheme="majorHAnsi" w:eastAsia="Times New Roman" w:hAnsiTheme="majorHAnsi"/>
          <w:b/>
          <w:bCs/>
        </w:rPr>
        <w:t xml:space="preserve"> A. Dawange</w:t>
      </w:r>
      <w:r w:rsidRPr="003D7029">
        <w:rPr>
          <w:rFonts w:asciiTheme="majorHAnsi" w:eastAsia="Times New Roman" w:hAnsiTheme="majorHAnsi"/>
          <w:b/>
          <w:bCs/>
          <w:vertAlign w:val="superscript"/>
        </w:rPr>
        <w:t>2</w:t>
      </w:r>
      <w:r w:rsidRPr="003D7029">
        <w:rPr>
          <w:rFonts w:asciiTheme="majorHAnsi" w:eastAsia="Times New Roman" w:hAnsiTheme="majorHAnsi"/>
          <w:b/>
          <w:bCs/>
        </w:rPr>
        <w:t xml:space="preserve">, </w:t>
      </w:r>
      <w:proofErr w:type="spellStart"/>
      <w:r w:rsidRPr="003D7029">
        <w:rPr>
          <w:rFonts w:asciiTheme="majorHAnsi" w:eastAsia="Times New Roman" w:hAnsiTheme="majorHAnsi"/>
          <w:b/>
          <w:bCs/>
        </w:rPr>
        <w:t>Nidhi</w:t>
      </w:r>
      <w:proofErr w:type="spellEnd"/>
      <w:r w:rsidRPr="003D7029">
        <w:rPr>
          <w:rFonts w:asciiTheme="majorHAnsi" w:eastAsia="Times New Roman" w:hAnsiTheme="majorHAnsi"/>
          <w:b/>
          <w:bCs/>
        </w:rPr>
        <w:t xml:space="preserve"> D. Rathi</w:t>
      </w:r>
      <w:r w:rsidRPr="003D7029">
        <w:rPr>
          <w:rFonts w:asciiTheme="majorHAnsi" w:eastAsia="Times New Roman" w:hAnsiTheme="majorHAnsi"/>
          <w:b/>
          <w:bCs/>
          <w:vertAlign w:val="superscript"/>
        </w:rPr>
        <w:t>3</w:t>
      </w:r>
      <w:r w:rsidRPr="003D7029">
        <w:rPr>
          <w:rFonts w:asciiTheme="majorHAnsi" w:eastAsia="Times New Roman" w:hAnsiTheme="majorHAnsi"/>
          <w:b/>
          <w:bCs/>
        </w:rPr>
        <w:t xml:space="preserve">, </w:t>
      </w:r>
      <w:proofErr w:type="spellStart"/>
      <w:r w:rsidRPr="003D7029">
        <w:rPr>
          <w:rFonts w:asciiTheme="majorHAnsi" w:eastAsia="Times New Roman" w:hAnsiTheme="majorHAnsi"/>
          <w:b/>
          <w:bCs/>
        </w:rPr>
        <w:t>Dattaguru</w:t>
      </w:r>
      <w:proofErr w:type="spellEnd"/>
      <w:r w:rsidRPr="003D7029">
        <w:rPr>
          <w:rFonts w:asciiTheme="majorHAnsi" w:eastAsia="Times New Roman" w:hAnsiTheme="majorHAnsi"/>
          <w:b/>
          <w:bCs/>
        </w:rPr>
        <w:t xml:space="preserve"> R. Kulkarni</w:t>
      </w:r>
      <w:r w:rsidRPr="003D7029">
        <w:rPr>
          <w:rFonts w:asciiTheme="majorHAnsi" w:eastAsia="Times New Roman" w:hAnsiTheme="majorHAnsi"/>
          <w:b/>
          <w:bCs/>
          <w:vertAlign w:val="superscript"/>
        </w:rPr>
        <w:t>4</w:t>
      </w:r>
    </w:p>
    <w:p w:rsidR="006C249B" w:rsidRPr="003D7029" w:rsidRDefault="006C249B" w:rsidP="006C249B">
      <w:pPr>
        <w:spacing w:after="0" w:line="360" w:lineRule="auto"/>
        <w:ind w:left="1260" w:hanging="1260"/>
        <w:contextualSpacing/>
        <w:rPr>
          <w:rFonts w:asciiTheme="majorHAnsi" w:eastAsia="Times New Roman" w:hAnsiTheme="majorHAnsi"/>
          <w:bCs/>
          <w:vertAlign w:val="superscript"/>
        </w:rPr>
      </w:pPr>
    </w:p>
    <w:p w:rsidR="006C249B" w:rsidRPr="003D7029" w:rsidRDefault="006C249B" w:rsidP="006C249B">
      <w:pPr>
        <w:spacing w:after="0" w:line="360" w:lineRule="auto"/>
        <w:ind w:left="1260" w:hanging="1260"/>
        <w:contextualSpacing/>
        <w:jc w:val="both"/>
        <w:rPr>
          <w:rFonts w:asciiTheme="majorHAnsi" w:eastAsia="Times New Roman" w:hAnsiTheme="majorHAnsi"/>
          <w:bCs/>
          <w:sz w:val="18"/>
          <w:szCs w:val="18"/>
        </w:rPr>
      </w:pPr>
      <w:r w:rsidRPr="003D7029">
        <w:rPr>
          <w:rFonts w:asciiTheme="majorHAnsi" w:eastAsia="Times New Roman" w:hAnsiTheme="majorHAnsi"/>
          <w:bCs/>
          <w:sz w:val="18"/>
          <w:szCs w:val="18"/>
          <w:vertAlign w:val="superscript"/>
        </w:rPr>
        <w:t>1</w:t>
      </w:r>
      <w:r w:rsidRPr="003D7029">
        <w:rPr>
          <w:rFonts w:asciiTheme="majorHAnsi" w:eastAsia="Times New Roman" w:hAnsiTheme="majorHAnsi"/>
          <w:bCs/>
          <w:sz w:val="18"/>
          <w:szCs w:val="18"/>
        </w:rPr>
        <w:t xml:space="preserve">Assistant Professor, Department of Surgery, Government Medical College, Akola, </w:t>
      </w:r>
      <w:proofErr w:type="gramStart"/>
      <w:r w:rsidRPr="003D7029">
        <w:rPr>
          <w:rFonts w:asciiTheme="majorHAnsi" w:eastAsia="Times New Roman" w:hAnsiTheme="majorHAnsi"/>
          <w:bCs/>
          <w:sz w:val="18"/>
          <w:szCs w:val="18"/>
        </w:rPr>
        <w:t>Maharashtra ,</w:t>
      </w:r>
      <w:proofErr w:type="gramEnd"/>
      <w:r w:rsidRPr="003D7029">
        <w:rPr>
          <w:rFonts w:asciiTheme="majorHAnsi" w:eastAsia="Times New Roman" w:hAnsiTheme="majorHAnsi"/>
          <w:bCs/>
          <w:sz w:val="18"/>
          <w:szCs w:val="18"/>
        </w:rPr>
        <w:t xml:space="preserve"> 444001, India</w:t>
      </w:r>
    </w:p>
    <w:p w:rsidR="006C249B" w:rsidRPr="003D7029" w:rsidRDefault="006C249B" w:rsidP="006C249B">
      <w:pPr>
        <w:spacing w:after="0" w:line="360" w:lineRule="auto"/>
        <w:ind w:left="1260" w:hanging="1260"/>
        <w:contextualSpacing/>
        <w:jc w:val="both"/>
        <w:rPr>
          <w:rFonts w:asciiTheme="majorHAnsi" w:eastAsia="Times New Roman" w:hAnsiTheme="majorHAnsi"/>
          <w:bCs/>
          <w:sz w:val="18"/>
          <w:szCs w:val="18"/>
        </w:rPr>
      </w:pPr>
      <w:r w:rsidRPr="003D7029">
        <w:rPr>
          <w:rFonts w:asciiTheme="majorHAnsi" w:eastAsia="Times New Roman" w:hAnsiTheme="majorHAnsi"/>
          <w:bCs/>
          <w:sz w:val="18"/>
          <w:szCs w:val="18"/>
          <w:vertAlign w:val="superscript"/>
        </w:rPr>
        <w:t>2</w:t>
      </w:r>
      <w:r w:rsidRPr="003D7029">
        <w:rPr>
          <w:rFonts w:asciiTheme="majorHAnsi" w:eastAsia="Times New Roman" w:hAnsiTheme="majorHAnsi"/>
          <w:bCs/>
          <w:sz w:val="18"/>
          <w:szCs w:val="18"/>
        </w:rPr>
        <w:t xml:space="preserve">Associate Professor, Department of Surgery, Government Medical College, Akola, </w:t>
      </w:r>
      <w:proofErr w:type="gramStart"/>
      <w:r w:rsidRPr="003D7029">
        <w:rPr>
          <w:rFonts w:asciiTheme="majorHAnsi" w:eastAsia="Times New Roman" w:hAnsiTheme="majorHAnsi"/>
          <w:bCs/>
          <w:sz w:val="18"/>
          <w:szCs w:val="18"/>
        </w:rPr>
        <w:t>Maharashtra ,</w:t>
      </w:r>
      <w:proofErr w:type="gramEnd"/>
      <w:r w:rsidRPr="003D7029">
        <w:rPr>
          <w:rFonts w:asciiTheme="majorHAnsi" w:eastAsia="Times New Roman" w:hAnsiTheme="majorHAnsi"/>
          <w:bCs/>
          <w:sz w:val="18"/>
          <w:szCs w:val="18"/>
        </w:rPr>
        <w:t xml:space="preserve"> 444001, India</w:t>
      </w:r>
    </w:p>
    <w:p w:rsidR="006C249B" w:rsidRPr="003D7029" w:rsidRDefault="006C249B" w:rsidP="006C249B">
      <w:pPr>
        <w:spacing w:after="0" w:line="360" w:lineRule="auto"/>
        <w:ind w:left="1260" w:hanging="1260"/>
        <w:contextualSpacing/>
        <w:jc w:val="both"/>
        <w:rPr>
          <w:rFonts w:asciiTheme="majorHAnsi" w:eastAsia="Times New Roman" w:hAnsiTheme="majorHAnsi"/>
          <w:bCs/>
          <w:sz w:val="18"/>
          <w:szCs w:val="18"/>
        </w:rPr>
      </w:pPr>
      <w:r w:rsidRPr="003D7029">
        <w:rPr>
          <w:rFonts w:asciiTheme="majorHAnsi" w:eastAsia="Times New Roman" w:hAnsiTheme="majorHAnsi"/>
          <w:bCs/>
          <w:sz w:val="18"/>
          <w:szCs w:val="18"/>
          <w:vertAlign w:val="superscript"/>
        </w:rPr>
        <w:t xml:space="preserve">3 </w:t>
      </w:r>
      <w:proofErr w:type="gramStart"/>
      <w:r w:rsidRPr="003D7029">
        <w:rPr>
          <w:rFonts w:asciiTheme="majorHAnsi" w:eastAsia="Times New Roman" w:hAnsiTheme="majorHAnsi"/>
          <w:bCs/>
          <w:sz w:val="18"/>
          <w:szCs w:val="18"/>
        </w:rPr>
        <w:t>Tutor</w:t>
      </w:r>
      <w:proofErr w:type="gramEnd"/>
      <w:r w:rsidRPr="003D7029">
        <w:rPr>
          <w:rFonts w:asciiTheme="majorHAnsi" w:eastAsia="Times New Roman" w:hAnsiTheme="majorHAnsi"/>
          <w:bCs/>
          <w:sz w:val="18"/>
          <w:szCs w:val="18"/>
        </w:rPr>
        <w:t>, Department of Physiology, Government Medical College, Akola, Maharashtra-444001, India</w:t>
      </w:r>
    </w:p>
    <w:p w:rsidR="006C249B" w:rsidRPr="003D7029" w:rsidRDefault="006C249B" w:rsidP="006C249B">
      <w:pPr>
        <w:spacing w:after="0" w:line="360" w:lineRule="auto"/>
        <w:ind w:left="1260" w:hanging="1260"/>
        <w:contextualSpacing/>
        <w:jc w:val="both"/>
        <w:rPr>
          <w:rFonts w:asciiTheme="majorHAnsi" w:eastAsia="Times New Roman" w:hAnsiTheme="majorHAnsi"/>
          <w:bCs/>
          <w:sz w:val="18"/>
          <w:szCs w:val="18"/>
        </w:rPr>
      </w:pPr>
      <w:r w:rsidRPr="003D7029">
        <w:rPr>
          <w:rFonts w:asciiTheme="majorHAnsi" w:eastAsia="Times New Roman" w:hAnsiTheme="majorHAnsi"/>
          <w:bCs/>
          <w:sz w:val="18"/>
          <w:szCs w:val="18"/>
          <w:vertAlign w:val="superscript"/>
        </w:rPr>
        <w:t>4</w:t>
      </w:r>
      <w:r w:rsidRPr="003D7029">
        <w:rPr>
          <w:rFonts w:asciiTheme="majorHAnsi" w:eastAsia="Times New Roman" w:hAnsiTheme="majorHAnsi"/>
          <w:bCs/>
          <w:sz w:val="18"/>
          <w:szCs w:val="18"/>
        </w:rPr>
        <w:t xml:space="preserve">Professor, Department of Surgery, Grant Government Medical College, Mumbai, </w:t>
      </w:r>
      <w:proofErr w:type="gramStart"/>
      <w:r w:rsidRPr="003D7029">
        <w:rPr>
          <w:rFonts w:asciiTheme="majorHAnsi" w:eastAsia="Times New Roman" w:hAnsiTheme="majorHAnsi"/>
          <w:bCs/>
          <w:sz w:val="18"/>
          <w:szCs w:val="18"/>
        </w:rPr>
        <w:t>Maharashtra ,</w:t>
      </w:r>
      <w:proofErr w:type="gramEnd"/>
      <w:r w:rsidRPr="003D7029">
        <w:rPr>
          <w:rFonts w:asciiTheme="majorHAnsi" w:eastAsia="Times New Roman" w:hAnsiTheme="majorHAnsi"/>
          <w:bCs/>
          <w:sz w:val="18"/>
          <w:szCs w:val="18"/>
        </w:rPr>
        <w:t xml:space="preserve"> 400001, India</w:t>
      </w:r>
    </w:p>
    <w:p w:rsidR="006C249B" w:rsidRPr="003D7029" w:rsidRDefault="006C249B" w:rsidP="006C249B">
      <w:pPr>
        <w:spacing w:after="0" w:line="360" w:lineRule="auto"/>
        <w:ind w:left="1152" w:hanging="1152"/>
        <w:contextualSpacing/>
        <w:rPr>
          <w:rFonts w:asciiTheme="majorHAnsi" w:eastAsia="Times New Roman" w:hAnsiTheme="majorHAnsi"/>
          <w:bCs/>
          <w:sz w:val="18"/>
          <w:szCs w:val="18"/>
        </w:rPr>
      </w:pPr>
      <w:r w:rsidRPr="003D7029">
        <w:rPr>
          <w:rFonts w:asciiTheme="majorHAnsi" w:eastAsia="Times New Roman" w:hAnsiTheme="majorHAnsi"/>
          <w:b/>
          <w:bCs/>
          <w:sz w:val="18"/>
          <w:szCs w:val="18"/>
        </w:rPr>
        <w:t>Corresponding author</w:t>
      </w:r>
      <w:r w:rsidRPr="003D7029">
        <w:rPr>
          <w:rFonts w:asciiTheme="majorHAnsi" w:eastAsia="Times New Roman" w:hAnsiTheme="majorHAnsi"/>
          <w:bCs/>
          <w:sz w:val="18"/>
          <w:szCs w:val="18"/>
        </w:rPr>
        <w:t xml:space="preserve">: </w:t>
      </w:r>
      <w:proofErr w:type="spellStart"/>
      <w:r w:rsidRPr="003D7029">
        <w:rPr>
          <w:rFonts w:asciiTheme="majorHAnsi" w:eastAsia="Times New Roman" w:hAnsiTheme="majorHAnsi"/>
          <w:bCs/>
          <w:sz w:val="18"/>
          <w:szCs w:val="18"/>
        </w:rPr>
        <w:t>Kunal</w:t>
      </w:r>
      <w:proofErr w:type="spellEnd"/>
      <w:r w:rsidRPr="003D7029">
        <w:rPr>
          <w:rFonts w:asciiTheme="majorHAnsi" w:eastAsia="Times New Roman" w:hAnsiTheme="majorHAnsi"/>
          <w:bCs/>
          <w:sz w:val="18"/>
          <w:szCs w:val="18"/>
        </w:rPr>
        <w:t xml:space="preserve"> H. </w:t>
      </w:r>
      <w:proofErr w:type="spellStart"/>
      <w:proofErr w:type="gramStart"/>
      <w:r w:rsidRPr="003D7029">
        <w:rPr>
          <w:rFonts w:asciiTheme="majorHAnsi" w:eastAsia="Times New Roman" w:hAnsiTheme="majorHAnsi"/>
          <w:bCs/>
          <w:sz w:val="18"/>
          <w:szCs w:val="18"/>
        </w:rPr>
        <w:t>Sayani</w:t>
      </w:r>
      <w:proofErr w:type="spellEnd"/>
      <w:r w:rsidRPr="003D7029">
        <w:rPr>
          <w:rFonts w:asciiTheme="majorHAnsi" w:eastAsia="Times New Roman" w:hAnsiTheme="majorHAnsi"/>
          <w:bCs/>
          <w:sz w:val="18"/>
          <w:szCs w:val="18"/>
        </w:rPr>
        <w:t xml:space="preserve"> ,Assistant</w:t>
      </w:r>
      <w:proofErr w:type="gramEnd"/>
      <w:r w:rsidRPr="003D7029">
        <w:rPr>
          <w:rFonts w:asciiTheme="majorHAnsi" w:eastAsia="Times New Roman" w:hAnsiTheme="majorHAnsi"/>
          <w:bCs/>
          <w:sz w:val="18"/>
          <w:szCs w:val="18"/>
        </w:rPr>
        <w:t xml:space="preserve"> Professor, Department of Surgery, Government Medical College,</w:t>
      </w:r>
    </w:p>
    <w:p w:rsidR="006C249B" w:rsidRPr="003D7029" w:rsidRDefault="006C249B" w:rsidP="006C249B">
      <w:pPr>
        <w:spacing w:after="0" w:line="360" w:lineRule="auto"/>
        <w:ind w:left="1152" w:hanging="1152"/>
        <w:contextualSpacing/>
        <w:rPr>
          <w:rFonts w:asciiTheme="majorHAnsi" w:eastAsia="Times New Roman" w:hAnsiTheme="majorHAnsi"/>
          <w:bCs/>
          <w:sz w:val="18"/>
          <w:szCs w:val="18"/>
        </w:rPr>
      </w:pPr>
      <w:r w:rsidRPr="003D7029">
        <w:rPr>
          <w:rFonts w:asciiTheme="majorHAnsi" w:eastAsia="Times New Roman" w:hAnsiTheme="majorHAnsi"/>
          <w:bCs/>
          <w:sz w:val="18"/>
          <w:szCs w:val="18"/>
        </w:rPr>
        <w:t>Akola</w:t>
      </w:r>
      <w:proofErr w:type="gramStart"/>
      <w:r w:rsidRPr="003D7029">
        <w:rPr>
          <w:rFonts w:asciiTheme="majorHAnsi" w:eastAsia="Times New Roman" w:hAnsiTheme="majorHAnsi"/>
          <w:bCs/>
          <w:sz w:val="18"/>
          <w:szCs w:val="18"/>
        </w:rPr>
        <w:t>,  Maharashtra</w:t>
      </w:r>
      <w:proofErr w:type="gramEnd"/>
      <w:r w:rsidRPr="003D7029">
        <w:rPr>
          <w:rFonts w:asciiTheme="majorHAnsi" w:eastAsia="Times New Roman" w:hAnsiTheme="majorHAnsi"/>
          <w:bCs/>
          <w:sz w:val="18"/>
          <w:szCs w:val="18"/>
        </w:rPr>
        <w:t>-444001, India</w:t>
      </w:r>
    </w:p>
    <w:p w:rsidR="006C249B" w:rsidRPr="005B28F1" w:rsidRDefault="006C249B" w:rsidP="006C249B">
      <w:pPr>
        <w:spacing w:after="0" w:line="360" w:lineRule="auto"/>
        <w:ind w:left="1260" w:hanging="1260"/>
        <w:contextualSpacing/>
        <w:jc w:val="both"/>
        <w:rPr>
          <w:rFonts w:ascii="Times New Roman" w:eastAsia="Times New Roman" w:hAnsi="Times New Roman"/>
          <w:bCs/>
        </w:rPr>
      </w:pPr>
      <w:r w:rsidRPr="005B28F1">
        <w:rPr>
          <w:rFonts w:ascii="Times New Roman" w:eastAsia="Times New Roman" w:hAnsi="Times New Roman"/>
          <w:bCs/>
        </w:rPr>
        <w:t>---------------------------------------------------------------------------------------------------------------------------</w:t>
      </w:r>
    </w:p>
    <w:p w:rsidR="006C249B" w:rsidRPr="003D7029" w:rsidRDefault="006C249B" w:rsidP="006C249B">
      <w:pPr>
        <w:spacing w:after="0" w:line="360" w:lineRule="auto"/>
        <w:contextualSpacing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3D7029">
        <w:rPr>
          <w:rFonts w:ascii="Times New Roman" w:eastAsia="Times New Roman" w:hAnsi="Times New Roman"/>
          <w:b/>
          <w:sz w:val="20"/>
          <w:szCs w:val="20"/>
        </w:rPr>
        <w:t>Abstract:</w:t>
      </w:r>
    </w:p>
    <w:p w:rsidR="006C249B" w:rsidRPr="003D7029" w:rsidRDefault="006C249B" w:rsidP="006C249B">
      <w:pPr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3D7029">
        <w:rPr>
          <w:rFonts w:ascii="Times New Roman" w:eastAsia="Times New Roman" w:hAnsi="Times New Roman"/>
          <w:bCs/>
          <w:sz w:val="18"/>
          <w:szCs w:val="18"/>
        </w:rPr>
        <w:t xml:space="preserve">Systemic Inflammatory </w:t>
      </w:r>
      <w:proofErr w:type="gramStart"/>
      <w:r w:rsidRPr="003D7029">
        <w:rPr>
          <w:rFonts w:ascii="Times New Roman" w:eastAsia="Times New Roman" w:hAnsi="Times New Roman"/>
          <w:bCs/>
          <w:sz w:val="18"/>
          <w:szCs w:val="18"/>
        </w:rPr>
        <w:t>Response  Syndrome</w:t>
      </w:r>
      <w:proofErr w:type="gramEnd"/>
      <w:r w:rsidRPr="003D7029">
        <w:rPr>
          <w:rFonts w:ascii="Times New Roman" w:hAnsi="Times New Roman"/>
          <w:sz w:val="18"/>
          <w:szCs w:val="18"/>
        </w:rPr>
        <w:t xml:space="preserve"> is a serious condition related to systemic inflammation, if untreated in time can lead to organ dysfunction &amp; death.</w:t>
      </w:r>
      <w:r w:rsidRPr="003D7029">
        <w:rPr>
          <w:rFonts w:ascii="Times New Roman" w:hAnsi="Times New Roman"/>
          <w:color w:val="000000"/>
          <w:sz w:val="18"/>
          <w:szCs w:val="18"/>
        </w:rPr>
        <w:t xml:space="preserve"> The purpose of this study was to evaluate the effects of antipyretic therapy on patients presenting with features of </w:t>
      </w:r>
      <w:proofErr w:type="spellStart"/>
      <w:r w:rsidRPr="003D7029">
        <w:rPr>
          <w:rFonts w:ascii="Times New Roman" w:hAnsi="Times New Roman"/>
          <w:color w:val="000000"/>
          <w:sz w:val="18"/>
          <w:szCs w:val="18"/>
        </w:rPr>
        <w:t>SIRS.In</w:t>
      </w:r>
      <w:proofErr w:type="spellEnd"/>
      <w:r w:rsidRPr="003D7029">
        <w:rPr>
          <w:rFonts w:ascii="Times New Roman" w:hAnsi="Times New Roman"/>
          <w:color w:val="000000"/>
          <w:sz w:val="18"/>
          <w:szCs w:val="18"/>
        </w:rPr>
        <w:t xml:space="preserve"> this study </w:t>
      </w:r>
      <w:r w:rsidRPr="003D7029">
        <w:rPr>
          <w:rFonts w:ascii="Times New Roman" w:eastAsia="Times New Roman" w:hAnsi="Times New Roman"/>
          <w:color w:val="000000"/>
          <w:sz w:val="18"/>
          <w:szCs w:val="18"/>
        </w:rPr>
        <w:t xml:space="preserve">out of 100 selected cases, 50 were randomly assigned to the study group and 50 to the control group. The study group received intravenous </w:t>
      </w:r>
      <w:proofErr w:type="spellStart"/>
      <w:r w:rsidRPr="003D7029">
        <w:rPr>
          <w:rFonts w:ascii="Times New Roman" w:eastAsia="Times New Roman" w:hAnsi="Times New Roman"/>
          <w:color w:val="000000"/>
          <w:sz w:val="18"/>
          <w:szCs w:val="18"/>
        </w:rPr>
        <w:t>paracetamol</w:t>
      </w:r>
      <w:proofErr w:type="spellEnd"/>
      <w:r w:rsidRPr="003D7029">
        <w:rPr>
          <w:rFonts w:ascii="Times New Roman" w:eastAsia="Times New Roman" w:hAnsi="Times New Roman"/>
          <w:color w:val="000000"/>
          <w:sz w:val="18"/>
          <w:szCs w:val="18"/>
        </w:rPr>
        <w:t xml:space="preserve"> infusion while the control group was observed. The study found that intravenous </w:t>
      </w:r>
      <w:proofErr w:type="spellStart"/>
      <w:r w:rsidRPr="003D7029">
        <w:rPr>
          <w:rFonts w:ascii="Times New Roman" w:eastAsia="Times New Roman" w:hAnsi="Times New Roman"/>
          <w:color w:val="000000"/>
          <w:sz w:val="18"/>
          <w:szCs w:val="18"/>
        </w:rPr>
        <w:t>paracetamol</w:t>
      </w:r>
      <w:proofErr w:type="spellEnd"/>
      <w:r w:rsidRPr="003D7029">
        <w:rPr>
          <w:rFonts w:ascii="Times New Roman" w:eastAsia="Times New Roman" w:hAnsi="Times New Roman"/>
          <w:color w:val="000000"/>
          <w:sz w:val="18"/>
          <w:szCs w:val="18"/>
        </w:rPr>
        <w:t xml:space="preserve"> infusion reduced pulse rate, respiratory rate and temperature significantly in study group as compared to control group. Thus intravenous </w:t>
      </w:r>
      <w:proofErr w:type="spellStart"/>
      <w:r w:rsidRPr="003D7029">
        <w:rPr>
          <w:rFonts w:ascii="Times New Roman" w:eastAsia="Times New Roman" w:hAnsi="Times New Roman"/>
          <w:color w:val="000000"/>
          <w:sz w:val="18"/>
          <w:szCs w:val="18"/>
        </w:rPr>
        <w:t>paracetamol</w:t>
      </w:r>
      <w:proofErr w:type="spellEnd"/>
      <w:r w:rsidRPr="003D7029">
        <w:rPr>
          <w:rFonts w:ascii="Times New Roman" w:eastAsia="Times New Roman" w:hAnsi="Times New Roman"/>
          <w:color w:val="000000"/>
          <w:sz w:val="18"/>
          <w:szCs w:val="18"/>
        </w:rPr>
        <w:t xml:space="preserve"> infusion has a role in controlling symptoms and signs of SIRS in its early phase. </w:t>
      </w:r>
    </w:p>
    <w:p w:rsidR="006C249B" w:rsidRPr="003D7029" w:rsidRDefault="006C249B" w:rsidP="006C249B">
      <w:pPr>
        <w:pBdr>
          <w:bottom w:val="single" w:sz="6" w:space="1" w:color="auto"/>
        </w:pBdr>
        <w:spacing w:after="0" w:line="360" w:lineRule="auto"/>
        <w:ind w:left="1152" w:hanging="1152"/>
        <w:contextualSpacing/>
        <w:jc w:val="both"/>
        <w:rPr>
          <w:rFonts w:ascii="Times New Roman" w:eastAsia="Times New Roman" w:hAnsi="Times New Roman"/>
          <w:bCs/>
          <w:sz w:val="18"/>
          <w:szCs w:val="18"/>
        </w:rPr>
      </w:pPr>
      <w:r w:rsidRPr="003D7029">
        <w:rPr>
          <w:rFonts w:ascii="Times New Roman" w:eastAsia="Times New Roman" w:hAnsi="Times New Roman"/>
          <w:b/>
          <w:bCs/>
          <w:sz w:val="18"/>
          <w:szCs w:val="18"/>
        </w:rPr>
        <w:t xml:space="preserve">Keywords: </w:t>
      </w:r>
      <w:r w:rsidRPr="003D7029">
        <w:rPr>
          <w:rFonts w:ascii="Times New Roman" w:eastAsia="Times New Roman" w:hAnsi="Times New Roman"/>
          <w:bCs/>
          <w:sz w:val="18"/>
          <w:szCs w:val="18"/>
        </w:rPr>
        <w:t xml:space="preserve">Systemic Inflammatory </w:t>
      </w:r>
      <w:proofErr w:type="gramStart"/>
      <w:r w:rsidRPr="003D7029">
        <w:rPr>
          <w:rFonts w:ascii="Times New Roman" w:eastAsia="Times New Roman" w:hAnsi="Times New Roman"/>
          <w:bCs/>
          <w:sz w:val="18"/>
          <w:szCs w:val="18"/>
        </w:rPr>
        <w:t>Response  Syndrome</w:t>
      </w:r>
      <w:proofErr w:type="gramEnd"/>
    </w:p>
    <w:p w:rsidR="006C249B" w:rsidRPr="003D7029" w:rsidRDefault="006C249B" w:rsidP="006C249B">
      <w:pPr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06104F" w:rsidRDefault="0006104F" w:rsidP="006C249B">
      <w:pPr>
        <w:spacing w:after="0" w:line="360" w:lineRule="auto"/>
      </w:pPr>
    </w:p>
    <w:sectPr w:rsidR="0006104F" w:rsidSect="00061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20D8D"/>
    <w:rsid w:val="000061B3"/>
    <w:rsid w:val="0006104F"/>
    <w:rsid w:val="001170B6"/>
    <w:rsid w:val="00274F00"/>
    <w:rsid w:val="00420D8D"/>
    <w:rsid w:val="004B274B"/>
    <w:rsid w:val="00567A1D"/>
    <w:rsid w:val="006C249B"/>
    <w:rsid w:val="009E591E"/>
    <w:rsid w:val="00A83F59"/>
    <w:rsid w:val="00AE3137"/>
    <w:rsid w:val="00B5444E"/>
    <w:rsid w:val="00CB0664"/>
    <w:rsid w:val="00DE0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D8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D8D"/>
    <w:pPr>
      <w:ind w:left="720"/>
      <w:contextualSpacing/>
    </w:pPr>
  </w:style>
  <w:style w:type="paragraph" w:styleId="Header">
    <w:name w:val="header"/>
    <w:aliases w:val="Char"/>
    <w:basedOn w:val="Normal"/>
    <w:link w:val="HeaderChar"/>
    <w:uiPriority w:val="99"/>
    <w:unhideWhenUsed/>
    <w:rsid w:val="00420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Char Char"/>
    <w:basedOn w:val="DefaultParagraphFont"/>
    <w:link w:val="Header"/>
    <w:uiPriority w:val="99"/>
    <w:rsid w:val="00420D8D"/>
    <w:rPr>
      <w:rFonts w:ascii="Calibri" w:eastAsia="Calibri" w:hAnsi="Calibri" w:cs="Times New Roman"/>
    </w:rPr>
  </w:style>
  <w:style w:type="character" w:customStyle="1" w:styleId="section-title-11">
    <w:name w:val="section-title-11"/>
    <w:basedOn w:val="DefaultParagraphFont"/>
    <w:rsid w:val="00DE0CA5"/>
    <w:rPr>
      <w:b w:val="0"/>
      <w:bCs w:val="0"/>
      <w:color w:val="003D6D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2016-03-20T03:08:00Z</dcterms:created>
  <dcterms:modified xsi:type="dcterms:W3CDTF">2016-03-20T03:08:00Z</dcterms:modified>
</cp:coreProperties>
</file>